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9060"/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pStyle w:val="Heading2"/>
              <w:widowControl w:val="0"/>
              <w:spacing w:lineRule="auto" w:after="160" w:line="360" w:before="160"/>
              <w:contextualSpacing w:val="0"/>
              <w:jc w:val="both"/>
              <w:rPr/>
            </w:pPr>
            <w:bookmarkStart w:id="0" w:colFirst="0" w:name="h.dkpj8x2eqoqw" w:colLast="0"/>
            <w:bookmarkEnd w:id="0"/>
            <w:r w:rsidRPr="00000000" w:rsidR="00000000" w:rsidDel="00000000">
              <w:rPr>
                <w:rFonts w:cs="Arial" w:hAnsi="Arial" w:eastAsia="Arial" w:ascii="Arial"/>
                <w:sz w:val="28"/>
                <w:highlight w:val="white"/>
                <w:rtl w:val="0"/>
              </w:rPr>
              <w:t xml:space="preserve">Субъекты и факторы риска для осуществления насилия над ребенком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84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Разного рода насилие над детьми встречается повсеместно: в семье, дошкольных учреждениях, школе, детских домах и интернатах, лечебно-воспитательных учреждениях и воспитательных колониях, местах проведения досуга и молодежных тусовок. Поэтому помимо причин, выделяются </w:t>
            </w:r>
            <w:r w:rsidRPr="00000000" w:rsidR="00000000" w:rsidDel="00000000">
              <w:rPr>
                <w:b w:val="1"/>
                <w:sz w:val="28"/>
                <w:highlight w:val="white"/>
                <w:rtl w:val="0"/>
              </w:rPr>
              <w:t xml:space="preserve">факторы риска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, способствующие увеличению случаев жестокого или пренебрежительного обращения с детьми. К таким факторам риска исследователи (Н.Ф.Михайлова, Кристел Алтосаар и др.) относят личностные характеристики насильников (</w:t>
            </w:r>
            <w:r w:rsidRPr="00000000" w:rsidR="00000000" w:rsidDel="00000000">
              <w:rPr>
                <w:b w:val="1"/>
                <w:sz w:val="28"/>
                <w:highlight w:val="white"/>
                <w:rtl w:val="0"/>
              </w:rPr>
              <w:t xml:space="preserve">субъектов насилия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) и жертв.Субъектами или внешними источниками насилия для детей и подростков является достаточно широкий перечень лиц. По материалам исследований белорусских и российских ученых насилие по отношению к ребенку может исходить от следующих категорий людей: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родителей (мать, отец, отчим, мачеха) или иных законных представителей (попечитель, опекун);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близких родственников (бабушка, дедушка, дядя, тетя, брат, сестра);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сверстников или старших детей знакомых и незнакомых ребенку;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педагогических работников образовательных, воспитательных либо лечебных учреждений (педагоги и воспитатели детских садов, школ, приютов, интернатов для детей-сирот, детских домов, мастера на производстве, тренеры в спортивных секциях и др.);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посторонних наделенных властными полномочиями (врачи, средний медицинский персонал, сотрудники правоохранительных органов и центров по оказании социальной помощи и поддержки и др.);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иных посторонних – знакомых (соседи, друзья родителей) и незнакомых взрослых.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В ходе исследования, проведенного в лаборатории семейно воспитания Национального института образования, уточнялись данные относительно наиболее частных субъектов жестокого обращения с детьми. Исследованием было охвачено свыше тысячи респондентов: 369 подростков, 170 студентов и 211 взрослых (родителей и педагогов). Как выяснилось, безопасных для детей мест, к сожалению, практически нет, но в зависимости от вида насилия большую угрозу представляют различные сферы обитания. В целом, на первом месте по опасности стоят улица и двор, где более четверти опрошенных испытывают и вербальное, и физическое насилие. На втором – общественные места и транспорт, несущие для респондентов, в основном, вербальное насилие в виде оскорблений, брани и угроз. В школе, которая оказалась на 3-м месте по числу выборов, ребята чаще всего встречаются с непристойными шутками и репликами в свой адрес. На последнем месте по числу выборов стоит квартира (собственная или чужая).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Вместе с тем, по данным исследователей, если сексуальное насилие около половины детей терпят от чужих людей, то физическое и психическое насилие совершается, в основном, в кругу семьи. По большей части матери (около 90%) ответственны за отсутствие родительской заботы, так как матери или люди их заменяющие являются основными опекунами. Зато сексуальное насилие гораздо чаще, приблизительно в 90% случаях, совершается мужчинами, около половины из них – отцы или люди их заменяющие. Мужчины также по большей части оказываются виновниками эмоционального и физического насилия.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Интересной выглядит позиция, объединяющая точки зрения зарубежных и российских ученых (Е.Н. Иванова, R.F. Celeste). Они выделяют три инициирующих домашнее насилие основных компонента, что позволяет определить и причины его возникновения. Этими компоненты являются насильник, жертва и кризис, причем в роли насильника могут выступать не только мужчины (отец, отчим, дед, дядя и др.), но и женщины, а также братья и сестры. Более того, вопреки существующим мифам насильник не обязательно асоциальная личность, а нередко уважаемый человек с высоким социальным статусом. Вместе с тем существуют определенные черты характера и установки, способствующие трансформации в насильника. Кроме того, должна возникнуть кризисная ситуация, т.е. неблагоприятное событие, которое играет роль пускового механизма для потенциального насильника и лишает его возможности справиться со своими желаниями и проблемами социально приемлемым способом.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Анализируя случаи домашнего насилия, они отметили, что к жестокому обращению с детьми склонны родители, которые: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не являются биологически родными для ребенка;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часто конфликтуют в семье, импульсивны, эмоционально неустойчивы, имеют психические и личностные расстройства;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в детстве сами пережили насилие;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обладают низким уровнем культуры и образования родителей, а также социально-экономическим статусом, например, принадлежат к категории безработных, имеют уголовное прошлое или настоящее;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воспитывают ребенка без супруга(и);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относительно молоды и неопытны, поэтому безразличны к состоянию и развитию ребенка;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склонны к злоупотреблению алкоголем либо приобщились к наркотикам;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обременены большим количеством детей.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Что касается жертв, то с высокой долей вероятности семейному насилию могут подвергаться дети: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нежеланные или рожденные вскоре после смерти предыдущего ребенка;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трудно вынашиваемые, часто болеющие и разлученные в течение первого года жизни с матерью, которая тяжело перенесла роды;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живущие в многодетной семье, где промежуток между рождениями детей был небольшим (погодки);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имеющие врожденные или приобретенные увечья, специфические особенности внешности, умственного (физического) развития, нарушения здоровья, в т.ч. сна, низкий интеллект и несформированные социальные навыки;</w:t>
            </w:r>
          </w:p>
          <w:p w:rsidP="00000000" w:rsidRPr="00000000" w:rsidR="00000000" w:rsidDel="00000000" w:rsidRDefault="00000000">
            <w:pPr>
              <w:widowControl w:val="0"/>
              <w:spacing w:lineRule="auto" w:line="360"/>
              <w:ind w:hanging="359"/>
              <w:contextualSpacing w:val="0"/>
              <w:jc w:val="both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highlight w:val="white"/>
                <w:rtl w:val="0"/>
              </w:rPr>
              <w:t xml:space="preserve">                                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отличающиеся девиантным поведением, раздражающими привычками и такими чертами характера, как вспыльчивость, гиперактивность, непредсказуемость, замкнутость, равнодушие, требовательность, внушаемость и др.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Итак, факторы риска возникновения домашнего насилия в отношении детей группируются в характеризующие среду, т.е. семью, и детей. Замечено, что жестокое обращение с детьми больше распространено среди бедных и неимущих. </w:t>
            </w:r>
            <w:r w:rsidRPr="00000000" w:rsidR="00000000" w:rsidDel="00000000">
              <w:rPr>
                <w:sz w:val="28"/>
                <w:highlight w:val="white"/>
                <w:u w:val="single"/>
                <w:rtl w:val="0"/>
              </w:rPr>
              <w:t xml:space="preserve">Экономические факторы,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 к которым можно отнести плохие жилищные условия и недоступность квалифицированного медицинского обслуживания, ограничивают возможность заботы о ребенке и создают фон для жестокого обращения с ребенком.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u w:val="single"/>
                <w:rtl w:val="0"/>
              </w:rPr>
              <w:t xml:space="preserve">Структура семьи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 также является важной характеристикой, поскольку дети, живущие с одним из родителей, значительно больше рискуют оказаться лишенными заботы вследствие трудовой занятости взрослого или подвергнуться жестокому обращению из-за его физической или эмоциональной перегрузки. Причем, дети, живущие только с отцами, в два раза чаще подвергаются насилию, чем оставшиеся с одной матерью. Наконец, жестокое обращение с детьми, в особенности отсутствие заботы о физическом состоянии ребенка или педагогическая запущенность, чаще встречаются в больших семьях, где появление каждого нового ребенка привносит дополнительные заботы и трудности.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Ребенок может способствовать насилию своей агрессивностью и импульсивностью, являющимися следствием плохого обращения. Гиперактивные дети более возбудимы и менее охотно выполняют правила, что раздражает взрослых и провоцирует их на насилие. В свою очередь ребенок, подражая родителям и желая предотвратить жестокое обращение по отношению к себе, демонстрирует такую же агрессивность. В результате создается порочный круг.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Отдельным объектом внимания российских (С.В. Ильина, А.Д. Кошелева, О.С. Лобза, Е.Т. Соколова) и зарубежных ученых стали “сензитивные к насилию” </w:t>
            </w:r>
            <w:r w:rsidRPr="00000000" w:rsidR="00000000" w:rsidDel="00000000">
              <w:rPr>
                <w:sz w:val="28"/>
                <w:highlight w:val="white"/>
                <w:u w:val="single"/>
                <w:rtl w:val="0"/>
              </w:rPr>
              <w:t xml:space="preserve">возрастные периоды 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развития ребенка. По данным проведенного в США общенационального исследования, такими периодами являются дошкольный и подростковый возраст. Так, случаи плохого ухода со стороны родителей фиксировались преимущественно в отношении дошкольников: 23% случаев касались детей от рождения до 2 лет. Объясняется это тем, что период младенчества и раннего детства, когда ребенок наиболее беспомощен и зависим от взрослых, бывает самым стрессовым временем и для большинства родителей, особенно для склонных к злоупотреблению алкоголем.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Непрекращающийся крик и раздражительность младенца приводят к уменьшению привязанности матери и, как отметил S.M. Bell, в этом случае женщины могут уйти, оставляя малыша одного. Впрочем, пассивные, отстающие в развитии, родившиеся преждевременно, требующие из-за этого или вследствие психофизических особенностей специального ухода младенцы тоже могут фрустрировать матерей. Такие дети не только обременительны для родителей, но и рассматриваются ими как постоянное напоминание об уязвленном самолюбии, что стимулирует со стороны взрослых жестокое обращение в виде недостатка ухода.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Жертвами же физического насилия в семье зачастую становятся подростки 12-17 лет. Самый пик приходится на 15-17-летних: 14,2 случая на 1000 исследуемых, в то время как для всех школьников показатель в два с лишним раза ниже (6,3 на 1000). Любопытен и такой факт: хотя в физическом насилии дети признают виновными обоих родителей (94,2% всех случаев), насильственные методы воспитания чаще допускают женщины (60,8%), а не мужчины. Матери виновны также в 75% фактов плохого ухода за детьми. В этом данные американских специалистов практически совпадают с результатами, полученными белорусским ученым, доктором социологических наук Ю.М.Бубновым (г. Могилев).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По </w:t>
            </w:r>
            <w:r w:rsidRPr="00000000" w:rsidR="00000000" w:rsidDel="00000000">
              <w:rPr>
                <w:sz w:val="28"/>
                <w:highlight w:val="white"/>
                <w:u w:val="single"/>
                <w:rtl w:val="0"/>
              </w:rPr>
              <w:t xml:space="preserve">половому признаку</w:t>
            </w: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 пострадавшие различаются следующим образом: с физическим насилием и мальчики и девочки от рождения до 3-лет встречаются одинаково часто. Среди 4-12-летних наказываемых физически мальчиков примерно на 30% больше, чем девочек. Далее, в подростковом возрасте соотношение выравнивается, чтобы после 16 лет качнуться в сторону девочек, которые теперь уже страдают чаще на те же 30%.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От сексуального преследования чаще страдают девочки всех возрастных групп. С возрастом доля девочек, ставших жертвами домогательств, увеличивается и достигает максимума после 16 лет, когда соотношение становится 1:4. Как ни странно, но запущенными в бытовом плане также чаще бывают девочки, особенно после 10 лет. Пик неухоженности припадает все на тех же 16-летних девушек, когда их преобладание над юношами становится шестикратным.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60" w:line="360" w:before="160"/>
              <w:ind w:firstLine="72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highlight w:val="white"/>
                <w:rtl w:val="0"/>
              </w:rPr>
              <w:t xml:space="preserve">Перечисленные выше факторы риска не обязательно оборачиваются прямой опасностью для детей. Нередко в семьях, представители которых обладают приведенными характеристиками, дети окружены теплотой и любовью. Однако выделение таких факторов способствует обозначению своеобразной "зоны особого внимания" для специалистов, помогая им выявить, а иногда и предотвратить домашнее насилие.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и факторы риска для осуществления насилия над ребёнком.docx</dc:title>
</cp:coreProperties>
</file>